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8014"/>
      </w:tblGrid>
      <w:tr w:rsidR="00570F86" w:rsidTr="00570F86">
        <w:tc>
          <w:tcPr>
            <w:tcW w:w="2088" w:type="dxa"/>
          </w:tcPr>
          <w:p w:rsidR="00570F86" w:rsidRDefault="00C31AD7" w:rsidP="00570F86">
            <w:r w:rsidRPr="00C31AD7">
              <w:rPr>
                <w:noProof/>
              </w:rPr>
              <w:drawing>
                <wp:inline distT="0" distB="0" distL="0" distR="0" wp14:anchorId="267843CD" wp14:editId="6ECDD800">
                  <wp:extent cx="1289595" cy="1657350"/>
                  <wp:effectExtent l="0" t="0" r="0" b="0"/>
                  <wp:docPr id="1" name="Picture 1" descr="http://www.vla.org/assets/cover%20program%20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la.org/assets/cover%20program%20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9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8" w:type="dxa"/>
            <w:vAlign w:val="center"/>
          </w:tcPr>
          <w:p w:rsidR="00C31AD7" w:rsidRPr="00C31AD7" w:rsidRDefault="00C31AD7" w:rsidP="00C31AD7">
            <w:pPr>
              <w:rPr>
                <w:rFonts w:ascii="Comic Sans MS" w:hAnsi="Comic Sans MS" w:cs="Arial"/>
                <w:b/>
                <w:sz w:val="26"/>
                <w:szCs w:val="26"/>
              </w:rPr>
            </w:pPr>
            <w:r w:rsidRPr="00C31AD7">
              <w:rPr>
                <w:rFonts w:ascii="Comic Sans MS" w:hAnsi="Comic Sans MS" w:cs="Arial"/>
                <w:b/>
                <w:sz w:val="26"/>
                <w:szCs w:val="26"/>
              </w:rPr>
              <w:t>Finding what Fits: Communication Strategies at the Center of Faculty/Liaison Interaction</w:t>
            </w:r>
          </w:p>
          <w:p w:rsidR="00C31AD7" w:rsidRDefault="00C31AD7" w:rsidP="00C31A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By Cori Strickler, Bridgewater College &amp; Anne Driscoll, George Mason University</w:t>
            </w:r>
          </w:p>
          <w:p w:rsidR="00C31AD7" w:rsidRDefault="00C31AD7" w:rsidP="00C31A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October 22, 2015</w:t>
            </w:r>
          </w:p>
          <w:p w:rsidR="00C31AD7" w:rsidRDefault="00C31AD7" w:rsidP="00C31AD7">
            <w:pPr>
              <w:rPr>
                <w:rFonts w:ascii="Arial" w:hAnsi="Arial" w:cs="Arial"/>
                <w:sz w:val="26"/>
                <w:szCs w:val="26"/>
              </w:rPr>
            </w:pPr>
          </w:p>
          <w:p w:rsidR="00C31AD7" w:rsidRPr="00C31AD7" w:rsidRDefault="00C31AD7" w:rsidP="00C31A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Discussion Summary</w:t>
            </w:r>
          </w:p>
          <w:p w:rsidR="00570F86" w:rsidRDefault="00570F86" w:rsidP="00570F86">
            <w:pPr>
              <w:pStyle w:val="Heading1"/>
            </w:pPr>
          </w:p>
        </w:tc>
      </w:tr>
    </w:tbl>
    <w:p w:rsidR="00570F86" w:rsidRDefault="00570F86"/>
    <w:tbl>
      <w:tblPr>
        <w:tblW w:w="0" w:type="auto"/>
        <w:tblBorders>
          <w:top w:val="single" w:sz="4" w:space="0" w:color="7E6BC9" w:themeColor="accent5"/>
          <w:left w:val="single" w:sz="4" w:space="0" w:color="7E6BC9" w:themeColor="accent5"/>
          <w:bottom w:val="single" w:sz="4" w:space="0" w:color="7E6BC9" w:themeColor="accent5"/>
          <w:right w:val="single" w:sz="4" w:space="0" w:color="7E6BC9" w:themeColor="accent5"/>
          <w:insideH w:val="single" w:sz="4" w:space="0" w:color="7E6BC9" w:themeColor="accent5"/>
          <w:insideV w:val="single" w:sz="4" w:space="0" w:color="7E6BC9" w:themeColor="accent5"/>
        </w:tblBorders>
        <w:tblLook w:val="01E0" w:firstRow="1" w:lastRow="1" w:firstColumn="1" w:lastColumn="1" w:noHBand="0" w:noVBand="0"/>
      </w:tblPr>
      <w:tblGrid>
        <w:gridCol w:w="9828"/>
      </w:tblGrid>
      <w:tr w:rsidR="00702C08" w:rsidTr="00702C08">
        <w:trPr>
          <w:cantSplit/>
          <w:trHeight w:val="432"/>
          <w:tblHeader/>
        </w:trPr>
        <w:tc>
          <w:tcPr>
            <w:tcW w:w="9828" w:type="dxa"/>
            <w:tcBorders>
              <w:top w:val="single" w:sz="4" w:space="0" w:color="4E5D3C" w:themeColor="accent2" w:themeShade="80"/>
              <w:left w:val="single" w:sz="4" w:space="0" w:color="4E5D3C" w:themeColor="accent2" w:themeShade="80"/>
              <w:bottom w:val="single" w:sz="4" w:space="0" w:color="000000" w:themeColor="text1"/>
              <w:right w:val="single" w:sz="4" w:space="0" w:color="4E5D3C" w:themeColor="accent2" w:themeShade="80"/>
            </w:tcBorders>
            <w:shd w:val="clear" w:color="auto" w:fill="457350"/>
            <w:vAlign w:val="center"/>
          </w:tcPr>
          <w:p w:rsidR="00702C08" w:rsidRPr="00C31AD7" w:rsidRDefault="00702C08" w:rsidP="00570F8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</w:tbl>
    <w:p w:rsidR="00A36D75" w:rsidRDefault="00A36D75" w:rsidP="00DA2EC7"/>
    <w:p w:rsidR="00702C08" w:rsidRDefault="009674DE" w:rsidP="00DA2EC7">
      <w:r>
        <w:t>Participants</w:t>
      </w:r>
      <w:r w:rsidR="00702C08">
        <w:t xml:space="preserve"> at this meet-up made many good suggestions on how to connect with faculty.  They included:</w:t>
      </w:r>
    </w:p>
    <w:p w:rsidR="00702C08" w:rsidRDefault="00702C08" w:rsidP="00DA2EC7"/>
    <w:p w:rsidR="00702C08" w:rsidRDefault="00702C08" w:rsidP="00702C08">
      <w:pPr>
        <w:pStyle w:val="ListParagraph"/>
        <w:numPr>
          <w:ilvl w:val="0"/>
          <w:numId w:val="11"/>
        </w:numPr>
      </w:pPr>
      <w:r>
        <w:t>Make a special effort to reach out.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Find a cheerleader – word of mouth is an excellent way to connect with new faculty.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Connect to faculty through social media including LinkedIn, Twitter, and Facebook.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Connect with your campus IT people to become a presence on Blackboard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Creating a space at your library for adjunct faculty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One person said the created an online information literacy instruction module for their faculty members.  It is part of the onboarding process.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Showcase faculty publications.  Make it a regularly changing display.  Let faculty know when their books are being displayed.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Become familiar with faculty research and send them relevant articles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Try to become involved in your departments’ hiring process.  In that way you can meet them while they are interviewing.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Attend adjunct and/or faculty orientations.  Let them know you are there for them including specifically what you can do for them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Start a faculty book club.  Hold it in the library.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 xml:space="preserve">See if your faculty </w:t>
      </w:r>
      <w:r w:rsidR="009674DE">
        <w:t>are on T</w:t>
      </w:r>
      <w:r>
        <w:t>witter or other social media then follow them.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>Make friends with department administrative assistants, they will let you know when new people are hired</w:t>
      </w:r>
    </w:p>
    <w:p w:rsidR="00702C08" w:rsidRDefault="00702C08" w:rsidP="00702C08">
      <w:pPr>
        <w:pStyle w:val="ListParagraph"/>
        <w:numPr>
          <w:ilvl w:val="0"/>
          <w:numId w:val="11"/>
        </w:numPr>
      </w:pPr>
      <w:r>
        <w:t xml:space="preserve">Get on </w:t>
      </w:r>
      <w:r w:rsidR="009674DE">
        <w:t>department list-serv’s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Personal interactions are the key that leads to everything else.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Attend campus events – it is a great way to meet faculty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Had a happy hour for faculty – it was very successful with new faculty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Invite faculty who have recently gotten tenure and new faculty.  Ask them to select a book which is critical to their area.  Then put a book plate in it with their name on it.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Need to focus on a specific area or specific area of expertise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Move campus events into the library: scholars program presentations, faculty receptions, displays of faculty work for the year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VCU librarians are faculty – attend faculty senate meetings, etc. – it shows interest and dedication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Try to get onto adhoc meetings – for instance teaching with technology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People interested in certain areas are getting together an discussing a specific topic to get to know other campus members</w:t>
      </w:r>
    </w:p>
    <w:p w:rsidR="002233E6" w:rsidRDefault="002233E6" w:rsidP="00702C08">
      <w:pPr>
        <w:pStyle w:val="ListParagraph"/>
        <w:numPr>
          <w:ilvl w:val="0"/>
          <w:numId w:val="11"/>
        </w:numPr>
      </w:pPr>
      <w:r>
        <w:t>Join committees which are for anyone – parking, etc.</w:t>
      </w:r>
    </w:p>
    <w:p w:rsidR="00702C08" w:rsidRDefault="00702C08" w:rsidP="00702C08"/>
    <w:p w:rsidR="00702C08" w:rsidRDefault="00702C08" w:rsidP="00702C08">
      <w:r>
        <w:t>Frustrations included:</w:t>
      </w:r>
    </w:p>
    <w:p w:rsidR="00702C08" w:rsidRDefault="00702C08" w:rsidP="00702C08">
      <w:pPr>
        <w:pStyle w:val="ListParagraph"/>
        <w:numPr>
          <w:ilvl w:val="0"/>
          <w:numId w:val="12"/>
        </w:numPr>
      </w:pPr>
      <w:r>
        <w:t>Can be hard to get a face-to-face or telephone conversation with faculty especially adjuncts.</w:t>
      </w:r>
    </w:p>
    <w:p w:rsidR="00702C08" w:rsidRDefault="00702C08" w:rsidP="00702C08">
      <w:pPr>
        <w:pStyle w:val="ListParagraph"/>
        <w:numPr>
          <w:ilvl w:val="0"/>
          <w:numId w:val="12"/>
        </w:numPr>
      </w:pPr>
      <w:r>
        <w:t>Things like the book group mentioned above went like gangbusters for a while, but then petered out.</w:t>
      </w:r>
    </w:p>
    <w:p w:rsidR="002233E6" w:rsidRDefault="002233E6" w:rsidP="002233E6">
      <w:pPr>
        <w:pStyle w:val="ListParagraph"/>
        <w:numPr>
          <w:ilvl w:val="0"/>
          <w:numId w:val="12"/>
        </w:numPr>
      </w:pPr>
      <w:r>
        <w:t>Only have success with people who come back over and over</w:t>
      </w:r>
    </w:p>
    <w:p w:rsidR="00A36D75" w:rsidRPr="002233E6" w:rsidRDefault="002233E6" w:rsidP="002233E6">
      <w:pPr>
        <w:pStyle w:val="ListParagraph"/>
        <w:numPr>
          <w:ilvl w:val="0"/>
          <w:numId w:val="12"/>
        </w:numPr>
      </w:pPr>
      <w:bookmarkStart w:id="0" w:name="_GoBack"/>
      <w:bookmarkEnd w:id="0"/>
      <w:r>
        <w:t>If not faculty, may not be invited because there is too much confidential information</w:t>
      </w:r>
    </w:p>
    <w:sectPr w:rsidR="00A36D75" w:rsidRPr="002233E6" w:rsidSect="00C31AD7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36" w:rsidRDefault="003E7636">
      <w:r>
        <w:separator/>
      </w:r>
    </w:p>
  </w:endnote>
  <w:endnote w:type="continuationSeparator" w:id="0">
    <w:p w:rsidR="003E7636" w:rsidRDefault="003E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36" w:rsidRDefault="003E7636">
      <w:r>
        <w:separator/>
      </w:r>
    </w:p>
  </w:footnote>
  <w:footnote w:type="continuationSeparator" w:id="0">
    <w:p w:rsidR="003E7636" w:rsidRDefault="003E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42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780F0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E88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7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1C58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5AA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265B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7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46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09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162C1"/>
    <w:multiLevelType w:val="hybridMultilevel"/>
    <w:tmpl w:val="87A2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2166"/>
    <w:multiLevelType w:val="hybridMultilevel"/>
    <w:tmpl w:val="0D0E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7"/>
    <w:rsid w:val="000210C1"/>
    <w:rsid w:val="0002286A"/>
    <w:rsid w:val="00043028"/>
    <w:rsid w:val="00072CAB"/>
    <w:rsid w:val="00106033"/>
    <w:rsid w:val="00116A50"/>
    <w:rsid w:val="00116EDB"/>
    <w:rsid w:val="001237C1"/>
    <w:rsid w:val="00137445"/>
    <w:rsid w:val="00143D35"/>
    <w:rsid w:val="001E0964"/>
    <w:rsid w:val="001E20A2"/>
    <w:rsid w:val="001E24A8"/>
    <w:rsid w:val="002233E6"/>
    <w:rsid w:val="002E47E2"/>
    <w:rsid w:val="00331937"/>
    <w:rsid w:val="00335E2D"/>
    <w:rsid w:val="00364B36"/>
    <w:rsid w:val="003E7636"/>
    <w:rsid w:val="00411DE0"/>
    <w:rsid w:val="0042412C"/>
    <w:rsid w:val="00427985"/>
    <w:rsid w:val="004765BC"/>
    <w:rsid w:val="00481257"/>
    <w:rsid w:val="00485C46"/>
    <w:rsid w:val="004A144F"/>
    <w:rsid w:val="004F551C"/>
    <w:rsid w:val="005662EF"/>
    <w:rsid w:val="00570F86"/>
    <w:rsid w:val="005B6BCC"/>
    <w:rsid w:val="005D00E2"/>
    <w:rsid w:val="00611F5F"/>
    <w:rsid w:val="0063694C"/>
    <w:rsid w:val="006466D4"/>
    <w:rsid w:val="00657CC9"/>
    <w:rsid w:val="00702C08"/>
    <w:rsid w:val="00716FF7"/>
    <w:rsid w:val="00730310"/>
    <w:rsid w:val="008C2FF0"/>
    <w:rsid w:val="009248A1"/>
    <w:rsid w:val="009674DE"/>
    <w:rsid w:val="009817B6"/>
    <w:rsid w:val="009E41EF"/>
    <w:rsid w:val="00A36D75"/>
    <w:rsid w:val="00AC7B62"/>
    <w:rsid w:val="00B4220D"/>
    <w:rsid w:val="00B50232"/>
    <w:rsid w:val="00BB3D16"/>
    <w:rsid w:val="00BC1F46"/>
    <w:rsid w:val="00C157A0"/>
    <w:rsid w:val="00C31AD7"/>
    <w:rsid w:val="00CB1013"/>
    <w:rsid w:val="00CF5BB6"/>
    <w:rsid w:val="00D03341"/>
    <w:rsid w:val="00D32D60"/>
    <w:rsid w:val="00DA2EC7"/>
    <w:rsid w:val="00DB02BB"/>
    <w:rsid w:val="00DB490B"/>
    <w:rsid w:val="00E4007D"/>
    <w:rsid w:val="00E542B1"/>
    <w:rsid w:val="00EA25A1"/>
    <w:rsid w:val="00EC0F36"/>
    <w:rsid w:val="00F107F0"/>
    <w:rsid w:val="00F12D53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5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F86"/>
    <w:pPr>
      <w:outlineLvl w:val="0"/>
    </w:pPr>
    <w:rPr>
      <w:rFonts w:asciiTheme="majorHAnsi" w:hAnsiTheme="majorHAnsi"/>
      <w:color w:val="7E6BC9" w:themeColor="accent5"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F86"/>
    <w:pPr>
      <w:spacing w:before="40" w:after="40"/>
      <w:jc w:val="center"/>
      <w:outlineLvl w:val="1"/>
    </w:pPr>
    <w:rPr>
      <w:rFonts w:asciiTheme="majorHAnsi" w:hAnsiTheme="majorHAnsi"/>
      <w:b/>
      <w:color w:val="533DA8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F86"/>
    <w:rPr>
      <w:rFonts w:asciiTheme="majorHAnsi" w:hAnsiTheme="majorHAnsi"/>
      <w:color w:val="7E6BC9" w:themeColor="accent5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0F86"/>
    <w:rPr>
      <w:rFonts w:asciiTheme="majorHAnsi" w:hAnsiTheme="majorHAnsi"/>
      <w:b/>
      <w:color w:val="533DA8" w:themeColor="accent5" w:themeShade="BF"/>
      <w:szCs w:val="24"/>
    </w:rPr>
  </w:style>
  <w:style w:type="table" w:styleId="TableGrid">
    <w:name w:val="Table Grid"/>
    <w:basedOn w:val="TableNormal"/>
    <w:rsid w:val="005D00E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702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45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F86"/>
    <w:pPr>
      <w:outlineLvl w:val="0"/>
    </w:pPr>
    <w:rPr>
      <w:rFonts w:asciiTheme="majorHAnsi" w:hAnsiTheme="majorHAnsi"/>
      <w:color w:val="7E6BC9" w:themeColor="accent5"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F86"/>
    <w:pPr>
      <w:spacing w:before="40" w:after="40"/>
      <w:jc w:val="center"/>
      <w:outlineLvl w:val="1"/>
    </w:pPr>
    <w:rPr>
      <w:rFonts w:asciiTheme="majorHAnsi" w:hAnsiTheme="majorHAnsi"/>
      <w:b/>
      <w:color w:val="533DA8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F86"/>
    <w:rPr>
      <w:rFonts w:asciiTheme="majorHAnsi" w:hAnsiTheme="majorHAnsi"/>
      <w:color w:val="7E6BC9" w:themeColor="accent5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0F86"/>
    <w:rPr>
      <w:rFonts w:asciiTheme="majorHAnsi" w:hAnsiTheme="majorHAnsi"/>
      <w:b/>
      <w:color w:val="533DA8" w:themeColor="accent5" w:themeShade="BF"/>
      <w:szCs w:val="24"/>
    </w:rPr>
  </w:style>
  <w:style w:type="table" w:styleId="TableGrid">
    <w:name w:val="Table Grid"/>
    <w:basedOn w:val="TableNormal"/>
    <w:rsid w:val="005D00E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70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scoll\AppData\Roaming\Microsoft\Templates\GiftLog.dot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is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4C54FFC-53E5-4FDC-9783-6AD6F5027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GiftLog</Template>
  <TotalTime>482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gifts received</vt:lpstr>
    </vt:vector>
  </TitlesOfParts>
  <Company>Toshiba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gifts received</dc:title>
  <dc:creator>ADriscoll</dc:creator>
  <cp:lastModifiedBy>ADrisco2</cp:lastModifiedBy>
  <cp:revision>3</cp:revision>
  <cp:lastPrinted>2015-11-05T13:42:00Z</cp:lastPrinted>
  <dcterms:created xsi:type="dcterms:W3CDTF">2015-11-05T11:56:00Z</dcterms:created>
  <dcterms:modified xsi:type="dcterms:W3CDTF">2015-11-06T19:17:00Z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TC060897421033</vt:lpwstr>
  </property>
</Properties>
</file>